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C8" w:rsidRDefault="00A25AC8" w:rsidP="00A25AC8">
      <w:pPr>
        <w:tabs>
          <w:tab w:val="left" w:pos="817"/>
        </w:tabs>
        <w:spacing w:after="208" w:line="240" w:lineRule="auto"/>
        <w:outlineLvl w:val="1"/>
        <w:rPr>
          <w:rFonts w:ascii="Arial" w:eastAsia="Times New Roman" w:hAnsi="Arial" w:cs="Arial"/>
          <w:b/>
          <w:bCs/>
          <w:color w:val="00CCFF"/>
          <w:sz w:val="39"/>
        </w:rPr>
      </w:pPr>
      <w:r w:rsidRPr="00A25AC8">
        <w:rPr>
          <w:rFonts w:ascii="Arial" w:eastAsia="Times New Roman" w:hAnsi="Arial" w:cs="Arial"/>
          <w:b/>
          <w:bCs/>
          <w:color w:val="00CCFF"/>
          <w:sz w:val="39"/>
        </w:rPr>
        <w:drawing>
          <wp:anchor distT="0" distB="0" distL="114300" distR="114300" simplePos="0" relativeHeight="251659264" behindDoc="0" locked="0" layoutInCell="1" allowOverlap="1">
            <wp:simplePos x="0" y="0"/>
            <wp:positionH relativeFrom="column">
              <wp:posOffset>-171450</wp:posOffset>
            </wp:positionH>
            <wp:positionV relativeFrom="paragraph">
              <wp:posOffset>-495300</wp:posOffset>
            </wp:positionV>
            <wp:extent cx="638175"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67385"/>
                    </a:xfrm>
                    <a:prstGeom prst="rect">
                      <a:avLst/>
                    </a:prstGeom>
                    <a:noFill/>
                    <a:ln>
                      <a:noFill/>
                    </a:ln>
                  </pic:spPr>
                </pic:pic>
              </a:graphicData>
            </a:graphic>
          </wp:anchor>
        </w:drawing>
      </w:r>
      <w:r>
        <w:rPr>
          <w:rFonts w:ascii="Arial" w:eastAsia="Times New Roman" w:hAnsi="Arial" w:cs="Arial"/>
          <w:b/>
          <w:bCs/>
          <w:color w:val="00CCFF"/>
          <w:sz w:val="39"/>
        </w:rPr>
        <w:tab/>
      </w:r>
      <w:r w:rsidRPr="00A25AC8">
        <w:rPr>
          <w:rFonts w:ascii="Arial" w:eastAsia="Times New Roman" w:hAnsi="Arial" w:cs="Arial"/>
          <w:b/>
          <w:bCs/>
          <w:color w:val="00CCFF"/>
          <w:sz w:val="39"/>
        </w:rPr>
        <w:drawing>
          <wp:anchor distT="0" distB="0" distL="114300" distR="114300" simplePos="0" relativeHeight="251663360" behindDoc="1" locked="0" layoutInCell="1" allowOverlap="1">
            <wp:simplePos x="0" y="0"/>
            <wp:positionH relativeFrom="column">
              <wp:posOffset>5048250</wp:posOffset>
            </wp:positionH>
            <wp:positionV relativeFrom="paragraph">
              <wp:posOffset>-285750</wp:posOffset>
            </wp:positionV>
            <wp:extent cx="752475" cy="504825"/>
            <wp:effectExtent l="0" t="0" r="9525" b="9525"/>
            <wp:wrapTight wrapText="bothSides">
              <wp:wrapPolygon edited="0">
                <wp:start x="15311" y="0"/>
                <wp:lineTo x="0" y="4075"/>
                <wp:lineTo x="0" y="21192"/>
                <wp:lineTo x="4922" y="21192"/>
                <wp:lineTo x="18046" y="21192"/>
                <wp:lineTo x="21327" y="19562"/>
                <wp:lineTo x="21327" y="0"/>
                <wp:lineTo x="153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504825"/>
                    </a:xfrm>
                    <a:prstGeom prst="rect">
                      <a:avLst/>
                    </a:prstGeom>
                    <a:noFill/>
                    <a:ln>
                      <a:noFill/>
                    </a:ln>
                  </pic:spPr>
                </pic:pic>
              </a:graphicData>
            </a:graphic>
          </wp:anchor>
        </w:drawing>
      </w:r>
      <w:r w:rsidRPr="00A25AC8">
        <w:rPr>
          <w:rFonts w:ascii="Arial" w:eastAsia="Times New Roman" w:hAnsi="Arial" w:cs="Arial"/>
          <w:b/>
          <w:bCs/>
          <w:color w:val="00CCFF"/>
          <w:sz w:val="39"/>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-247650</wp:posOffset>
            </wp:positionV>
            <wp:extent cx="2219325" cy="4165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87" t="-4756" b="35791"/>
                    <a:stretch>
                      <a:fillRect/>
                    </a:stretch>
                  </pic:blipFill>
                  <pic:spPr bwMode="auto">
                    <a:xfrm>
                      <a:off x="0" y="0"/>
                      <a:ext cx="2219325" cy="416560"/>
                    </a:xfrm>
                    <a:prstGeom prst="rect">
                      <a:avLst/>
                    </a:prstGeom>
                    <a:noFill/>
                    <a:ln>
                      <a:noFill/>
                    </a:ln>
                  </pic:spPr>
                </pic:pic>
              </a:graphicData>
            </a:graphic>
          </wp:anchor>
        </w:drawing>
      </w:r>
    </w:p>
    <w:p w:rsidR="00A25AC8" w:rsidRDefault="00A25AC8" w:rsidP="00A25AC8">
      <w:pPr>
        <w:pStyle w:val="NormalWeb"/>
        <w:spacing w:before="0" w:beforeAutospacing="0" w:after="0" w:afterAutospacing="0"/>
        <w:jc w:val="center"/>
        <w:rPr>
          <w:rFonts w:ascii="Cambria" w:eastAsia="Cambria" w:hAnsi="Cambria" w:cs="Arial"/>
          <w:b/>
          <w:bCs/>
          <w:color w:val="020301"/>
          <w:szCs w:val="36"/>
        </w:rPr>
      </w:pPr>
      <w:proofErr w:type="gramStart"/>
      <w:r>
        <w:rPr>
          <w:rFonts w:ascii="Cambria" w:eastAsia="Cambria" w:hAnsi="Cambria" w:cs="Arial"/>
          <w:b/>
          <w:bCs/>
          <w:color w:val="020301"/>
          <w:szCs w:val="36"/>
        </w:rPr>
        <w:t>an</w:t>
      </w:r>
      <w:proofErr w:type="gramEnd"/>
      <w:r>
        <w:rPr>
          <w:rFonts w:ascii="Cambria" w:eastAsia="Cambria" w:hAnsi="Cambria" w:cs="Arial"/>
          <w:b/>
          <w:bCs/>
          <w:color w:val="020301"/>
          <w:szCs w:val="36"/>
        </w:rPr>
        <w:t xml:space="preserve"> International CBSE Finger Print School</w:t>
      </w:r>
    </w:p>
    <w:p w:rsidR="00A25AC8" w:rsidRDefault="00A25AC8" w:rsidP="00A25AC8">
      <w:pPr>
        <w:pStyle w:val="NormalWeb"/>
        <w:spacing w:before="0" w:beforeAutospacing="0" w:after="0" w:afterAutospacing="0"/>
        <w:jc w:val="center"/>
        <w:rPr>
          <w:sz w:val="12"/>
        </w:rPr>
      </w:pPr>
      <w:r>
        <w:rPr>
          <w:rFonts w:ascii="Cambria" w:eastAsia="Cambria" w:hAnsi="Cambria"/>
          <w:b/>
          <w:bCs/>
          <w:color w:val="020301"/>
          <w:szCs w:val="36"/>
        </w:rPr>
        <w:t>Coimbatore</w:t>
      </w:r>
    </w:p>
    <w:p w:rsidR="00A25AC8" w:rsidRDefault="00A25AC8" w:rsidP="005479CB">
      <w:pPr>
        <w:spacing w:after="208" w:line="240" w:lineRule="auto"/>
        <w:outlineLvl w:val="1"/>
        <w:rPr>
          <w:rFonts w:ascii="Arial" w:eastAsia="Times New Roman" w:hAnsi="Arial" w:cs="Arial"/>
          <w:b/>
          <w:bCs/>
          <w:color w:val="00CCFF"/>
          <w:sz w:val="39"/>
        </w:rPr>
      </w:pPr>
    </w:p>
    <w:p w:rsidR="005479CB" w:rsidRPr="005479CB" w:rsidRDefault="005479CB" w:rsidP="005479CB">
      <w:pPr>
        <w:spacing w:after="208" w:line="240" w:lineRule="auto"/>
        <w:outlineLvl w:val="1"/>
        <w:rPr>
          <w:rFonts w:ascii="Arial" w:eastAsia="Times New Roman" w:hAnsi="Arial" w:cs="Arial"/>
          <w:color w:val="222222"/>
          <w:sz w:val="39"/>
          <w:szCs w:val="39"/>
        </w:rPr>
      </w:pPr>
      <w:r w:rsidRPr="005479CB">
        <w:rPr>
          <w:rFonts w:ascii="Arial" w:eastAsia="Times New Roman" w:hAnsi="Arial" w:cs="Arial"/>
          <w:b/>
          <w:bCs/>
          <w:color w:val="00CCFF"/>
          <w:sz w:val="39"/>
        </w:rPr>
        <w:t xml:space="preserve">Reconstitution of a Partnership Firm — Retirement/Death of a Partner </w:t>
      </w:r>
    </w:p>
    <w:p w:rsidR="005479CB" w:rsidRDefault="005479CB" w:rsidP="005479CB">
      <w:pPr>
        <w:spacing w:after="337" w:line="240" w:lineRule="auto"/>
        <w:rPr>
          <w:rFonts w:ascii="Times New Roman" w:eastAsia="Times New Roman" w:hAnsi="Times New Roman" w:cs="Times New Roman"/>
          <w:b/>
          <w:bCs/>
          <w:sz w:val="24"/>
          <w:szCs w:val="24"/>
        </w:rPr>
      </w:pPr>
      <w:r w:rsidRPr="005479CB">
        <w:rPr>
          <w:rFonts w:ascii="Times New Roman" w:eastAsia="Times New Roman" w:hAnsi="Times New Roman" w:cs="Times New Roman"/>
          <w:b/>
          <w:bCs/>
          <w:sz w:val="24"/>
          <w:szCs w:val="24"/>
        </w:rPr>
        <w:t>Topic 1: Introduction and New Profit Sharing Ratio/Gaining Rati</w:t>
      </w:r>
      <w:r>
        <w:rPr>
          <w:rFonts w:ascii="Times New Roman" w:eastAsia="Times New Roman" w:hAnsi="Times New Roman" w:cs="Times New Roman"/>
          <w:b/>
          <w:bCs/>
          <w:sz w:val="24"/>
          <w:szCs w:val="24"/>
        </w:rPr>
        <w:t>o</w:t>
      </w:r>
    </w:p>
    <w:p w:rsidR="005479CB" w:rsidRDefault="005479CB" w:rsidP="005479CB">
      <w:pPr>
        <w:spacing w:after="337" w:line="240" w:lineRule="auto"/>
        <w:rPr>
          <w:rFonts w:ascii="Times New Roman" w:eastAsia="Times New Roman" w:hAnsi="Times New Roman" w:cs="Times New Roman"/>
          <w:sz w:val="24"/>
          <w:szCs w:val="24"/>
        </w:rPr>
      </w:pPr>
      <w:r w:rsidRPr="005479CB">
        <w:rPr>
          <w:rFonts w:ascii="Times New Roman" w:eastAsia="Times New Roman" w:hAnsi="Times New Roman" w:cs="Times New Roman"/>
          <w:sz w:val="24"/>
          <w:szCs w:val="24"/>
        </w:rPr>
        <w:br/>
        <w:t>1. Meaning of Retirement of a partner means ceasing to be a partner of the firm.</w:t>
      </w:r>
    </w:p>
    <w:p w:rsidR="005479CB" w:rsidRDefault="005479CB" w:rsidP="005479CB">
      <w:pPr>
        <w:spacing w:after="337" w:line="240" w:lineRule="auto"/>
        <w:rPr>
          <w:rFonts w:ascii="Times New Roman" w:eastAsia="Times New Roman" w:hAnsi="Times New Roman" w:cs="Times New Roman"/>
          <w:sz w:val="24"/>
          <w:szCs w:val="24"/>
        </w:rPr>
      </w:pPr>
      <w:r w:rsidRPr="005479CB">
        <w:rPr>
          <w:rFonts w:ascii="Times New Roman" w:eastAsia="Times New Roman" w:hAnsi="Times New Roman" w:cs="Times New Roman"/>
          <w:sz w:val="24"/>
          <w:szCs w:val="24"/>
        </w:rPr>
        <w:br/>
        <w:t>The different ways by which a partner can retire from the firm are</w:t>
      </w:r>
      <w:proofErr w:type="gramStart"/>
      <w:r w:rsidRPr="005479CB">
        <w:rPr>
          <w:rFonts w:ascii="Times New Roman" w:eastAsia="Times New Roman" w:hAnsi="Times New Roman" w:cs="Times New Roman"/>
          <w:sz w:val="24"/>
          <w:szCs w:val="24"/>
        </w:rPr>
        <w:t>:</w:t>
      </w:r>
      <w:proofErr w:type="gramEnd"/>
      <w:r w:rsidRPr="005479CB">
        <w:rPr>
          <w:rFonts w:ascii="Times New Roman" w:eastAsia="Times New Roman" w:hAnsi="Times New Roman" w:cs="Times New Roman"/>
          <w:sz w:val="24"/>
          <w:szCs w:val="24"/>
        </w:rPr>
        <w:br/>
        <w:t>(</w:t>
      </w:r>
      <w:proofErr w:type="spellStart"/>
      <w:r w:rsidRPr="005479CB">
        <w:rPr>
          <w:rFonts w:ascii="Times New Roman" w:eastAsia="Times New Roman" w:hAnsi="Times New Roman" w:cs="Times New Roman"/>
          <w:sz w:val="24"/>
          <w:szCs w:val="24"/>
        </w:rPr>
        <w:t>i</w:t>
      </w:r>
      <w:proofErr w:type="spellEnd"/>
      <w:r w:rsidRPr="005479CB">
        <w:rPr>
          <w:rFonts w:ascii="Times New Roman" w:eastAsia="Times New Roman" w:hAnsi="Times New Roman" w:cs="Times New Roman"/>
          <w:sz w:val="24"/>
          <w:szCs w:val="24"/>
        </w:rPr>
        <w:t>) With the consent of all the partners.</w:t>
      </w:r>
      <w:r w:rsidRPr="005479CB">
        <w:rPr>
          <w:rFonts w:ascii="Times New Roman" w:eastAsia="Times New Roman" w:hAnsi="Times New Roman" w:cs="Times New Roman"/>
          <w:sz w:val="24"/>
          <w:szCs w:val="24"/>
        </w:rPr>
        <w:br/>
        <w:t>(ii) By giving notice in writing to all other partners of his intention to retire, in case of partnership at will.</w:t>
      </w:r>
      <w:r w:rsidRPr="005479CB">
        <w:rPr>
          <w:rFonts w:ascii="Times New Roman" w:eastAsia="Times New Roman" w:hAnsi="Times New Roman" w:cs="Times New Roman"/>
          <w:sz w:val="24"/>
          <w:szCs w:val="24"/>
        </w:rPr>
        <w:br/>
        <w:t>(iii) In accordance with the terms of agreement between the partners.</w:t>
      </w:r>
    </w:p>
    <w:p w:rsidR="005479CB" w:rsidRDefault="005479CB" w:rsidP="005479CB">
      <w:pPr>
        <w:spacing w:after="337" w:line="240" w:lineRule="auto"/>
        <w:rPr>
          <w:rFonts w:ascii="Times New Roman" w:eastAsia="Times New Roman" w:hAnsi="Times New Roman" w:cs="Times New Roman"/>
          <w:sz w:val="24"/>
          <w:szCs w:val="24"/>
        </w:rPr>
      </w:pPr>
      <w:r w:rsidRPr="005479CB">
        <w:rPr>
          <w:rFonts w:ascii="Times New Roman" w:eastAsia="Times New Roman" w:hAnsi="Times New Roman" w:cs="Times New Roman"/>
          <w:sz w:val="24"/>
          <w:szCs w:val="24"/>
        </w:rPr>
        <w:br/>
        <w:t>2. Liability of a Partner</w:t>
      </w:r>
      <w:r w:rsidRPr="005479CB">
        <w:rPr>
          <w:rFonts w:ascii="Times New Roman" w:eastAsia="Times New Roman" w:hAnsi="Times New Roman" w:cs="Times New Roman"/>
          <w:sz w:val="24"/>
          <w:szCs w:val="24"/>
        </w:rPr>
        <w:br/>
        <w:t xml:space="preserve">Liability of the Firm for the Acts before Retirement [Section 32(2)] </w:t>
      </w:r>
      <w:proofErr w:type="gramStart"/>
      <w:r w:rsidRPr="005479CB">
        <w:rPr>
          <w:rFonts w:ascii="Times New Roman" w:eastAsia="Times New Roman" w:hAnsi="Times New Roman" w:cs="Times New Roman"/>
          <w:sz w:val="24"/>
          <w:szCs w:val="24"/>
        </w:rPr>
        <w:t>A</w:t>
      </w:r>
      <w:proofErr w:type="gramEnd"/>
      <w:r w:rsidRPr="005479CB">
        <w:rPr>
          <w:rFonts w:ascii="Times New Roman" w:eastAsia="Times New Roman" w:hAnsi="Times New Roman" w:cs="Times New Roman"/>
          <w:sz w:val="24"/>
          <w:szCs w:val="24"/>
        </w:rPr>
        <w:t xml:space="preserve"> retiring partner remains liable for all the acts of the firm up to the date of his retirement. However, a retiring partner may be discharged from his liability by an agreement between himself, third party and the continuing partners.</w:t>
      </w:r>
      <w:r w:rsidRPr="005479CB">
        <w:rPr>
          <w:rFonts w:ascii="Times New Roman" w:eastAsia="Times New Roman" w:hAnsi="Times New Roman" w:cs="Times New Roman"/>
          <w:sz w:val="24"/>
          <w:szCs w:val="24"/>
        </w:rPr>
        <w:br/>
        <w:t xml:space="preserve">Liability of the Firm for the Acts after Retirement [Section 32 (3)] </w:t>
      </w:r>
      <w:proofErr w:type="gramStart"/>
      <w:r w:rsidRPr="005479CB">
        <w:rPr>
          <w:rFonts w:ascii="Times New Roman" w:eastAsia="Times New Roman" w:hAnsi="Times New Roman" w:cs="Times New Roman"/>
          <w:sz w:val="24"/>
          <w:szCs w:val="24"/>
        </w:rPr>
        <w:t>A</w:t>
      </w:r>
      <w:proofErr w:type="gramEnd"/>
      <w:r w:rsidRPr="005479CB">
        <w:rPr>
          <w:rFonts w:ascii="Times New Roman" w:eastAsia="Times New Roman" w:hAnsi="Times New Roman" w:cs="Times New Roman"/>
          <w:sz w:val="24"/>
          <w:szCs w:val="24"/>
        </w:rPr>
        <w:t xml:space="preserve"> retiring partner also continues to be liable to third parties for the acts of the firm even after his retirement until a public notice of his retirement is given.</w:t>
      </w:r>
      <w:r w:rsidRPr="005479CB">
        <w:rPr>
          <w:rFonts w:ascii="Times New Roman" w:eastAsia="Times New Roman" w:hAnsi="Times New Roman" w:cs="Times New Roman"/>
          <w:sz w:val="24"/>
          <w:szCs w:val="24"/>
        </w:rPr>
        <w:br/>
        <w:t>Various matters that need accounting adjustment at the time of retirement are:</w:t>
      </w:r>
      <w:r w:rsidRPr="005479CB">
        <w:rPr>
          <w:rFonts w:ascii="Times New Roman" w:eastAsia="Times New Roman" w:hAnsi="Times New Roman" w:cs="Times New Roman"/>
          <w:sz w:val="24"/>
          <w:szCs w:val="24"/>
        </w:rPr>
        <w:br/>
        <w:t>(</w:t>
      </w:r>
      <w:proofErr w:type="spellStart"/>
      <w:r w:rsidRPr="005479CB">
        <w:rPr>
          <w:rFonts w:ascii="Times New Roman" w:eastAsia="Times New Roman" w:hAnsi="Times New Roman" w:cs="Times New Roman"/>
          <w:sz w:val="24"/>
          <w:szCs w:val="24"/>
        </w:rPr>
        <w:t>i</w:t>
      </w:r>
      <w:proofErr w:type="spellEnd"/>
      <w:r w:rsidRPr="005479CB">
        <w:rPr>
          <w:rFonts w:ascii="Times New Roman" w:eastAsia="Times New Roman" w:hAnsi="Times New Roman" w:cs="Times New Roman"/>
          <w:sz w:val="24"/>
          <w:szCs w:val="24"/>
        </w:rPr>
        <w:t>) Determination of new profit sharing ratio</w:t>
      </w:r>
      <w:r w:rsidRPr="005479CB">
        <w:rPr>
          <w:rFonts w:ascii="Times New Roman" w:eastAsia="Times New Roman" w:hAnsi="Times New Roman" w:cs="Times New Roman"/>
          <w:sz w:val="24"/>
          <w:szCs w:val="24"/>
        </w:rPr>
        <w:br/>
        <w:t>(ii) Determination of gaining ratio</w:t>
      </w:r>
      <w:r w:rsidRPr="005479CB">
        <w:rPr>
          <w:rFonts w:ascii="Times New Roman" w:eastAsia="Times New Roman" w:hAnsi="Times New Roman" w:cs="Times New Roman"/>
          <w:sz w:val="24"/>
          <w:szCs w:val="24"/>
        </w:rPr>
        <w:br/>
        <w:t>(iii) Treatment of goodwill</w:t>
      </w:r>
      <w:r w:rsidRPr="005479CB">
        <w:rPr>
          <w:rFonts w:ascii="Times New Roman" w:eastAsia="Times New Roman" w:hAnsi="Times New Roman" w:cs="Times New Roman"/>
          <w:sz w:val="24"/>
          <w:szCs w:val="24"/>
        </w:rPr>
        <w:br/>
        <w:t>(iv) Revaluation of assets and liabilities</w:t>
      </w:r>
      <w:r w:rsidRPr="005479CB">
        <w:rPr>
          <w:rFonts w:ascii="Times New Roman" w:eastAsia="Times New Roman" w:hAnsi="Times New Roman" w:cs="Times New Roman"/>
          <w:sz w:val="24"/>
          <w:szCs w:val="24"/>
        </w:rPr>
        <w:br/>
        <w:t>(v) Adjustment of accumulated profits and losses</w:t>
      </w:r>
      <w:r w:rsidRPr="005479CB">
        <w:rPr>
          <w:rFonts w:ascii="Times New Roman" w:eastAsia="Times New Roman" w:hAnsi="Times New Roman" w:cs="Times New Roman"/>
          <w:sz w:val="24"/>
          <w:szCs w:val="24"/>
        </w:rPr>
        <w:br/>
        <w:t>(vi) Adjustment of capital</w:t>
      </w:r>
      <w:r w:rsidRPr="005479CB">
        <w:rPr>
          <w:rFonts w:ascii="Times New Roman" w:eastAsia="Times New Roman" w:hAnsi="Times New Roman" w:cs="Times New Roman"/>
          <w:sz w:val="24"/>
          <w:szCs w:val="24"/>
        </w:rPr>
        <w:br/>
        <w:t>(vii) Determination of the amount payable to the retiring partner</w:t>
      </w:r>
    </w:p>
    <w:p w:rsidR="005479CB" w:rsidRDefault="005479CB" w:rsidP="005479CB">
      <w:pPr>
        <w:spacing w:after="337" w:line="240" w:lineRule="auto"/>
        <w:rPr>
          <w:rFonts w:ascii="Times New Roman" w:eastAsia="Times New Roman" w:hAnsi="Times New Roman" w:cs="Times New Roman"/>
          <w:sz w:val="24"/>
          <w:szCs w:val="24"/>
        </w:rPr>
      </w:pPr>
      <w:r w:rsidRPr="005479CB">
        <w:rPr>
          <w:rFonts w:ascii="Times New Roman" w:eastAsia="Times New Roman" w:hAnsi="Times New Roman" w:cs="Times New Roman"/>
          <w:sz w:val="24"/>
          <w:szCs w:val="24"/>
        </w:rPr>
        <w:br/>
        <w:t xml:space="preserve">3. New Profit Sharing Ratio </w:t>
      </w:r>
      <w:proofErr w:type="gramStart"/>
      <w:r w:rsidRPr="005479CB">
        <w:rPr>
          <w:rFonts w:ascii="Times New Roman" w:eastAsia="Times New Roman" w:hAnsi="Times New Roman" w:cs="Times New Roman"/>
          <w:sz w:val="24"/>
          <w:szCs w:val="24"/>
        </w:rPr>
        <w:t>The</w:t>
      </w:r>
      <w:proofErr w:type="gramEnd"/>
      <w:r w:rsidRPr="005479CB">
        <w:rPr>
          <w:rFonts w:ascii="Times New Roman" w:eastAsia="Times New Roman" w:hAnsi="Times New Roman" w:cs="Times New Roman"/>
          <w:sz w:val="24"/>
          <w:szCs w:val="24"/>
        </w:rPr>
        <w:t xml:space="preserve"> ratio in which the continuing partners will share profits and losses is called new profit sharing ratio. It is the sum total of his old share and the ratio in which the outgoing partner’s share of profit is acquired.</w:t>
      </w:r>
      <w:r w:rsidRPr="005479CB">
        <w:rPr>
          <w:rFonts w:ascii="Times New Roman" w:eastAsia="Times New Roman" w:hAnsi="Times New Roman" w:cs="Times New Roman"/>
          <w:sz w:val="24"/>
          <w:szCs w:val="24"/>
        </w:rPr>
        <w:br/>
        <w:t>New Ratio = Old Ratio + Gaining Ratio</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sz w:val="24"/>
          <w:szCs w:val="24"/>
        </w:rPr>
        <w:lastRenderedPageBreak/>
        <w:t xml:space="preserve">4. Gaining Ratio </w:t>
      </w:r>
      <w:proofErr w:type="gramStart"/>
      <w:r w:rsidRPr="005479CB">
        <w:rPr>
          <w:rFonts w:ascii="Times New Roman" w:eastAsia="Times New Roman" w:hAnsi="Times New Roman" w:cs="Times New Roman"/>
          <w:sz w:val="24"/>
          <w:szCs w:val="24"/>
        </w:rPr>
        <w:t>The</w:t>
      </w:r>
      <w:proofErr w:type="gramEnd"/>
      <w:r w:rsidRPr="005479CB">
        <w:rPr>
          <w:rFonts w:ascii="Times New Roman" w:eastAsia="Times New Roman" w:hAnsi="Times New Roman" w:cs="Times New Roman"/>
          <w:sz w:val="24"/>
          <w:szCs w:val="24"/>
        </w:rPr>
        <w:t xml:space="preserve"> ratio in which the remaining i.e. continuing partners have acquired the share from the retiring partner is called gaining ratio.</w:t>
      </w:r>
      <w:r w:rsidRPr="005479CB">
        <w:rPr>
          <w:rFonts w:ascii="Times New Roman" w:eastAsia="Times New Roman" w:hAnsi="Times New Roman" w:cs="Times New Roman"/>
          <w:sz w:val="24"/>
          <w:szCs w:val="24"/>
        </w:rPr>
        <w:br/>
        <w:t>Gaining Ratio = New Ratio – Old Ratio</w:t>
      </w:r>
    </w:p>
    <w:p w:rsidR="005479CB" w:rsidRDefault="005479CB" w:rsidP="005479CB">
      <w:pPr>
        <w:spacing w:after="337" w:line="240" w:lineRule="auto"/>
        <w:rPr>
          <w:rFonts w:ascii="Times New Roman" w:eastAsia="Times New Roman" w:hAnsi="Times New Roman" w:cs="Times New Roman"/>
          <w:sz w:val="24"/>
          <w:szCs w:val="24"/>
        </w:rPr>
      </w:pPr>
    </w:p>
    <w:p w:rsidR="005479CB" w:rsidRPr="005479CB" w:rsidRDefault="005479CB" w:rsidP="005479CB">
      <w:pPr>
        <w:spacing w:after="337" w:line="240" w:lineRule="auto"/>
        <w:rPr>
          <w:rFonts w:ascii="Times New Roman" w:eastAsia="Times New Roman" w:hAnsi="Times New Roman" w:cs="Times New Roman"/>
          <w:sz w:val="24"/>
          <w:szCs w:val="24"/>
        </w:rPr>
      </w:pPr>
      <w:r w:rsidRPr="005479CB">
        <w:rPr>
          <w:rFonts w:ascii="Times New Roman" w:eastAsia="Times New Roman" w:hAnsi="Times New Roman" w:cs="Times New Roman"/>
          <w:sz w:val="24"/>
          <w:szCs w:val="24"/>
        </w:rPr>
        <w:br/>
        <w:t>5. Difference between Sacrificing Ratio and Gaining Ratio</w:t>
      </w:r>
      <w:r w:rsidRPr="005479C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153785" cy="1202690"/>
            <wp:effectExtent l="19050" t="0" r="0" b="0"/>
            <wp:docPr id="1" name="Picture 1" descr="Reconstitution of a Partnership Firm Retirement Death of a Partner CBSE Notes for Class 12 Accountancy 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stitution of a Partnership Firm Retirement Death of a Partner CBSE Notes for Class 12 Accountancy img-1"/>
                    <pic:cNvPicPr>
                      <a:picLocks noChangeAspect="1" noChangeArrowheads="1"/>
                    </pic:cNvPicPr>
                  </pic:nvPicPr>
                  <pic:blipFill>
                    <a:blip r:embed="rId8"/>
                    <a:srcRect/>
                    <a:stretch>
                      <a:fillRect/>
                    </a:stretch>
                  </pic:blipFill>
                  <pic:spPr bwMode="auto">
                    <a:xfrm>
                      <a:off x="0" y="0"/>
                      <a:ext cx="6153785" cy="1202690"/>
                    </a:xfrm>
                    <a:prstGeom prst="rect">
                      <a:avLst/>
                    </a:prstGeom>
                    <a:noFill/>
                    <a:ln w="9525">
                      <a:noFill/>
                      <a:miter lim="800000"/>
                      <a:headEnd/>
                      <a:tailEnd/>
                    </a:ln>
                  </pic:spPr>
                </pic:pic>
              </a:graphicData>
            </a:graphic>
          </wp:inline>
        </w:drawing>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t>Topic 2: Treatment of Goodwill and Revaluation of Assets and Re-assessment of Liabilities</w:t>
      </w:r>
      <w:r w:rsidRPr="005479CB">
        <w:rPr>
          <w:rFonts w:ascii="Times New Roman" w:eastAsia="Times New Roman" w:hAnsi="Times New Roman" w:cs="Times New Roman"/>
          <w:sz w:val="24"/>
          <w:szCs w:val="24"/>
        </w:rPr>
        <w:br/>
        <w:t>1. Treatment of Goodwill</w:t>
      </w:r>
      <w:r w:rsidRPr="005479CB">
        <w:rPr>
          <w:rFonts w:ascii="Times New Roman" w:eastAsia="Times New Roman" w:hAnsi="Times New Roman" w:cs="Times New Roman"/>
          <w:sz w:val="24"/>
          <w:szCs w:val="24"/>
        </w:rPr>
        <w:br/>
        <w:t>Goodwill is a compensation paid to an outgoing partner payable by remaining partners in their gaining ratio.</w:t>
      </w:r>
      <w:r w:rsidRPr="005479CB">
        <w:rPr>
          <w:rFonts w:ascii="Times New Roman" w:eastAsia="Times New Roman" w:hAnsi="Times New Roman" w:cs="Times New Roman"/>
          <w:sz w:val="24"/>
          <w:szCs w:val="24"/>
        </w:rPr>
        <w:br/>
        <w:t>Adjustment for retiring partner’s share of goodwill will be made through the following journal entry</w:t>
      </w:r>
      <w:r w:rsidRPr="005479CB">
        <w:rPr>
          <w:rFonts w:ascii="Times New Roman" w:eastAsia="Times New Roman" w:hAnsi="Times New Roman" w:cs="Times New Roman"/>
          <w:sz w:val="24"/>
          <w:szCs w:val="24"/>
        </w:rPr>
        <w:br/>
        <w:t>Gaining Partners’ Capital A/c Dr [Continuing partners] [in gaining ratio]</w:t>
      </w:r>
      <w:r w:rsidRPr="005479CB">
        <w:rPr>
          <w:rFonts w:ascii="Times New Roman" w:eastAsia="Times New Roman" w:hAnsi="Times New Roman" w:cs="Times New Roman"/>
          <w:sz w:val="24"/>
          <w:szCs w:val="24"/>
        </w:rPr>
        <w:br/>
        <w:t>To .Sacrificing Partner’s Capital A/c [Retiring partner]</w:t>
      </w:r>
      <w:r w:rsidRPr="005479CB">
        <w:rPr>
          <w:rFonts w:ascii="Times New Roman" w:eastAsia="Times New Roman" w:hAnsi="Times New Roman" w:cs="Times New Roman"/>
          <w:sz w:val="24"/>
          <w:szCs w:val="24"/>
        </w:rPr>
        <w:br/>
        <w:t>If goodwill already appears in the old balance sheet, then it is to be written-off in old ratio.</w:t>
      </w:r>
      <w:r w:rsidRPr="005479CB">
        <w:rPr>
          <w:rFonts w:ascii="Times New Roman" w:eastAsia="Times New Roman" w:hAnsi="Times New Roman" w:cs="Times New Roman"/>
          <w:sz w:val="24"/>
          <w:szCs w:val="24"/>
        </w:rPr>
        <w:br/>
        <w:t>All Partners’ Capital/Current A/c Dr</w:t>
      </w:r>
      <w:r w:rsidRPr="005479CB">
        <w:rPr>
          <w:rFonts w:ascii="Times New Roman" w:eastAsia="Times New Roman" w:hAnsi="Times New Roman" w:cs="Times New Roman"/>
          <w:sz w:val="24"/>
          <w:szCs w:val="24"/>
        </w:rPr>
        <w:br/>
      </w:r>
      <w:proofErr w:type="gramStart"/>
      <w:r w:rsidRPr="005479CB">
        <w:rPr>
          <w:rFonts w:ascii="Times New Roman" w:eastAsia="Times New Roman" w:hAnsi="Times New Roman" w:cs="Times New Roman"/>
          <w:sz w:val="24"/>
          <w:szCs w:val="24"/>
        </w:rPr>
        <w:t>To</w:t>
      </w:r>
      <w:proofErr w:type="gramEnd"/>
      <w:r w:rsidRPr="005479CB">
        <w:rPr>
          <w:rFonts w:ascii="Times New Roman" w:eastAsia="Times New Roman" w:hAnsi="Times New Roman" w:cs="Times New Roman"/>
          <w:sz w:val="24"/>
          <w:szCs w:val="24"/>
        </w:rPr>
        <w:t xml:space="preserve"> Goodwill A/c</w:t>
      </w:r>
      <w:r w:rsidRPr="005479CB">
        <w:rPr>
          <w:rFonts w:ascii="Times New Roman" w:eastAsia="Times New Roman" w:hAnsi="Times New Roman" w:cs="Times New Roman"/>
          <w:sz w:val="24"/>
          <w:szCs w:val="24"/>
        </w:rPr>
        <w:br/>
        <w:t>2. Revaluation of Assets and Re-assessment of Liabilities</w:t>
      </w:r>
      <w:r w:rsidRPr="005479CB">
        <w:rPr>
          <w:rFonts w:ascii="Times New Roman" w:eastAsia="Times New Roman" w:hAnsi="Times New Roman" w:cs="Times New Roman"/>
          <w:sz w:val="24"/>
          <w:szCs w:val="24"/>
        </w:rPr>
        <w:br/>
        <w:t>Revaluation of assets and re-assessment of liabilities are to be done in the same way as in the case of admission of a new partner.</w:t>
      </w:r>
      <w:r w:rsidRPr="005479CB">
        <w:rPr>
          <w:rFonts w:ascii="Times New Roman" w:eastAsia="Times New Roman" w:hAnsi="Times New Roman" w:cs="Times New Roman"/>
          <w:sz w:val="24"/>
          <w:szCs w:val="24"/>
        </w:rPr>
        <w:br/>
        <w:t>3. Adjustment for reserves and accumulated profits/losses Adjustment for reserves and accumulated profits/losses are to be done in the same why as in the case of admission of a partner.</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t>Topic 3: Settlement of Amount Due to Retiring Partner</w:t>
      </w:r>
      <w:r w:rsidRPr="005479CB">
        <w:rPr>
          <w:rFonts w:ascii="Times New Roman" w:eastAsia="Times New Roman" w:hAnsi="Times New Roman" w:cs="Times New Roman"/>
          <w:sz w:val="24"/>
          <w:szCs w:val="24"/>
        </w:rPr>
        <w:br/>
        <w:t>1. Calculation of Amount Payable to Retiring/Deceased Partner The amount due to a retiring partner is ascertained by preparing retiring partner’s capital account, after taking into account the following</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t xml:space="preserve">Items to be Credited </w:t>
      </w:r>
      <w:r w:rsidRPr="005479CB">
        <w:rPr>
          <w:rFonts w:ascii="Times New Roman" w:eastAsia="Times New Roman" w:hAnsi="Times New Roman" w:cs="Times New Roman"/>
          <w:sz w:val="24"/>
          <w:szCs w:val="24"/>
        </w:rPr>
        <w:br/>
        <w:t>(</w:t>
      </w:r>
      <w:proofErr w:type="spellStart"/>
      <w:r w:rsidRPr="005479CB">
        <w:rPr>
          <w:rFonts w:ascii="Times New Roman" w:eastAsia="Times New Roman" w:hAnsi="Times New Roman" w:cs="Times New Roman"/>
          <w:sz w:val="24"/>
          <w:szCs w:val="24"/>
        </w:rPr>
        <w:t>i</w:t>
      </w:r>
      <w:proofErr w:type="spellEnd"/>
      <w:r w:rsidRPr="005479CB">
        <w:rPr>
          <w:rFonts w:ascii="Times New Roman" w:eastAsia="Times New Roman" w:hAnsi="Times New Roman" w:cs="Times New Roman"/>
          <w:sz w:val="24"/>
          <w:szCs w:val="24"/>
        </w:rPr>
        <w:t>) Opening balance of capital and current account of retiring partner.</w:t>
      </w:r>
      <w:r w:rsidRPr="005479CB">
        <w:rPr>
          <w:rFonts w:ascii="Times New Roman" w:eastAsia="Times New Roman" w:hAnsi="Times New Roman" w:cs="Times New Roman"/>
          <w:sz w:val="24"/>
          <w:szCs w:val="24"/>
        </w:rPr>
        <w:br/>
        <w:t>(ii) His share in the profit of revaluation account.</w:t>
      </w:r>
      <w:r w:rsidRPr="005479CB">
        <w:rPr>
          <w:rFonts w:ascii="Times New Roman" w:eastAsia="Times New Roman" w:hAnsi="Times New Roman" w:cs="Times New Roman"/>
          <w:sz w:val="24"/>
          <w:szCs w:val="24"/>
        </w:rPr>
        <w:br/>
        <w:t>(iii) His share of reserve and accumulated profit.</w:t>
      </w:r>
      <w:r w:rsidRPr="005479CB">
        <w:rPr>
          <w:rFonts w:ascii="Times New Roman" w:eastAsia="Times New Roman" w:hAnsi="Times New Roman" w:cs="Times New Roman"/>
          <w:sz w:val="24"/>
          <w:szCs w:val="24"/>
        </w:rPr>
        <w:br/>
      </w:r>
      <w:proofErr w:type="gramStart"/>
      <w:r w:rsidRPr="005479CB">
        <w:rPr>
          <w:rFonts w:ascii="Times New Roman" w:eastAsia="Times New Roman" w:hAnsi="Times New Roman" w:cs="Times New Roman"/>
          <w:sz w:val="24"/>
          <w:szCs w:val="24"/>
        </w:rPr>
        <w:t>(iv) His</w:t>
      </w:r>
      <w:proofErr w:type="gramEnd"/>
      <w:r w:rsidRPr="005479CB">
        <w:rPr>
          <w:rFonts w:ascii="Times New Roman" w:eastAsia="Times New Roman" w:hAnsi="Times New Roman" w:cs="Times New Roman"/>
          <w:sz w:val="24"/>
          <w:szCs w:val="24"/>
        </w:rPr>
        <w:t xml:space="preserve"> share of goodwill of the firm.</w:t>
      </w:r>
      <w:r w:rsidRPr="005479CB">
        <w:rPr>
          <w:rFonts w:ascii="Times New Roman" w:eastAsia="Times New Roman" w:hAnsi="Times New Roman" w:cs="Times New Roman"/>
          <w:sz w:val="24"/>
          <w:szCs w:val="24"/>
        </w:rPr>
        <w:br/>
        <w:t>(v) His share of profit till the date of his retirement.</w:t>
      </w:r>
      <w:r w:rsidRPr="005479CB">
        <w:rPr>
          <w:rFonts w:ascii="Times New Roman" w:eastAsia="Times New Roman" w:hAnsi="Times New Roman" w:cs="Times New Roman"/>
          <w:sz w:val="24"/>
          <w:szCs w:val="24"/>
        </w:rPr>
        <w:br/>
      </w:r>
      <w:proofErr w:type="gramStart"/>
      <w:r w:rsidRPr="005479CB">
        <w:rPr>
          <w:rFonts w:ascii="Times New Roman" w:eastAsia="Times New Roman" w:hAnsi="Times New Roman" w:cs="Times New Roman"/>
          <w:sz w:val="24"/>
          <w:szCs w:val="24"/>
        </w:rPr>
        <w:t>(vi) His</w:t>
      </w:r>
      <w:proofErr w:type="gramEnd"/>
      <w:r w:rsidRPr="005479CB">
        <w:rPr>
          <w:rFonts w:ascii="Times New Roman" w:eastAsia="Times New Roman" w:hAnsi="Times New Roman" w:cs="Times New Roman"/>
          <w:sz w:val="24"/>
          <w:szCs w:val="24"/>
        </w:rPr>
        <w:t xml:space="preserve"> salary and/or interest on capital due to the retiring partner till the date of his retirement.</w:t>
      </w:r>
      <w:r w:rsidRPr="005479CB">
        <w:rPr>
          <w:rFonts w:ascii="Times New Roman" w:eastAsia="Times New Roman" w:hAnsi="Times New Roman" w:cs="Times New Roman"/>
          <w:sz w:val="24"/>
          <w:szCs w:val="24"/>
        </w:rPr>
        <w:br/>
      </w:r>
      <w:proofErr w:type="gramStart"/>
      <w:r w:rsidRPr="005479CB">
        <w:rPr>
          <w:rFonts w:ascii="Times New Roman" w:eastAsia="Times New Roman" w:hAnsi="Times New Roman" w:cs="Times New Roman"/>
          <w:b/>
          <w:bCs/>
          <w:sz w:val="24"/>
          <w:szCs w:val="24"/>
        </w:rPr>
        <w:t xml:space="preserve">Items to be Debited </w:t>
      </w:r>
      <w:r w:rsidRPr="005479CB">
        <w:rPr>
          <w:rFonts w:ascii="Times New Roman" w:eastAsia="Times New Roman" w:hAnsi="Times New Roman" w:cs="Times New Roman"/>
          <w:sz w:val="24"/>
          <w:szCs w:val="24"/>
        </w:rPr>
        <w:br/>
        <w:t>(</w:t>
      </w:r>
      <w:proofErr w:type="spellStart"/>
      <w:r w:rsidRPr="005479CB">
        <w:rPr>
          <w:rFonts w:ascii="Times New Roman" w:eastAsia="Times New Roman" w:hAnsi="Times New Roman" w:cs="Times New Roman"/>
          <w:sz w:val="24"/>
          <w:szCs w:val="24"/>
        </w:rPr>
        <w:t>i</w:t>
      </w:r>
      <w:proofErr w:type="spellEnd"/>
      <w:r w:rsidRPr="005479CB">
        <w:rPr>
          <w:rFonts w:ascii="Times New Roman" w:eastAsia="Times New Roman" w:hAnsi="Times New Roman" w:cs="Times New Roman"/>
          <w:sz w:val="24"/>
          <w:szCs w:val="24"/>
        </w:rPr>
        <w:t>) Drawings and interest thereon.</w:t>
      </w:r>
      <w:proofErr w:type="gramEnd"/>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sz w:val="24"/>
          <w:szCs w:val="24"/>
        </w:rPr>
        <w:lastRenderedPageBreak/>
        <w:t>(ii) Share in the accumulated losses of past year/years.</w:t>
      </w:r>
      <w:r w:rsidRPr="005479CB">
        <w:rPr>
          <w:rFonts w:ascii="Times New Roman" w:eastAsia="Times New Roman" w:hAnsi="Times New Roman" w:cs="Times New Roman"/>
          <w:sz w:val="24"/>
          <w:szCs w:val="24"/>
        </w:rPr>
        <w:br/>
        <w:t>(iii) Share in the loss of revaluation account.</w:t>
      </w:r>
      <w:r w:rsidRPr="005479CB">
        <w:rPr>
          <w:rFonts w:ascii="Times New Roman" w:eastAsia="Times New Roman" w:hAnsi="Times New Roman" w:cs="Times New Roman"/>
          <w:sz w:val="24"/>
          <w:szCs w:val="24"/>
        </w:rPr>
        <w:br/>
        <w:t>2. Settlement of the Amount Due to the Retiring Partner The amount due to retiring partner is either paid off immediately or is transferred to his loan account. The retiring partner’s loan account will appear in the books of the new firm as a liability until it is paid off finally.</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t>Journal Entries</w:t>
      </w:r>
      <w:r w:rsidRPr="005479CB">
        <w:rPr>
          <w:rFonts w:ascii="Times New Roman" w:eastAsia="Times New Roman" w:hAnsi="Times New Roman" w:cs="Times New Roman"/>
          <w:sz w:val="24"/>
          <w:szCs w:val="24"/>
        </w:rPr>
        <w:br/>
        <w:t>The following journal entries are passed in this regard</w:t>
      </w:r>
      <w:r w:rsidRPr="005479CB">
        <w:rPr>
          <w:rFonts w:ascii="Times New Roman" w:eastAsia="Times New Roman" w:hAnsi="Times New Roman" w:cs="Times New Roman"/>
          <w:sz w:val="24"/>
          <w:szCs w:val="24"/>
        </w:rPr>
        <w:br/>
        <w:t>(</w:t>
      </w:r>
      <w:proofErr w:type="spellStart"/>
      <w:r w:rsidRPr="005479CB">
        <w:rPr>
          <w:rFonts w:ascii="Times New Roman" w:eastAsia="Times New Roman" w:hAnsi="Times New Roman" w:cs="Times New Roman"/>
          <w:sz w:val="24"/>
          <w:szCs w:val="24"/>
        </w:rPr>
        <w:t>i</w:t>
      </w:r>
      <w:proofErr w:type="spellEnd"/>
      <w:r w:rsidRPr="005479CB">
        <w:rPr>
          <w:rFonts w:ascii="Times New Roman" w:eastAsia="Times New Roman" w:hAnsi="Times New Roman" w:cs="Times New Roman"/>
          <w:sz w:val="24"/>
          <w:szCs w:val="24"/>
        </w:rPr>
        <w:t>) If the Amount is Immediately Paid off</w:t>
      </w:r>
      <w:r w:rsidRPr="005479CB">
        <w:rPr>
          <w:rFonts w:ascii="Times New Roman" w:eastAsia="Times New Roman" w:hAnsi="Times New Roman" w:cs="Times New Roman"/>
          <w:sz w:val="24"/>
          <w:szCs w:val="24"/>
        </w:rPr>
        <w:br/>
        <w:t>Retiring Partner’s Capital A/c Dr</w:t>
      </w:r>
      <w:r w:rsidRPr="005479CB">
        <w:rPr>
          <w:rFonts w:ascii="Times New Roman" w:eastAsia="Times New Roman" w:hAnsi="Times New Roman" w:cs="Times New Roman"/>
          <w:sz w:val="24"/>
          <w:szCs w:val="24"/>
        </w:rPr>
        <w:br/>
        <w:t>To Cash/ Bank A/c</w:t>
      </w:r>
      <w:r w:rsidRPr="005479CB">
        <w:rPr>
          <w:rFonts w:ascii="Times New Roman" w:eastAsia="Times New Roman" w:hAnsi="Times New Roman" w:cs="Times New Roman"/>
          <w:sz w:val="24"/>
          <w:szCs w:val="24"/>
        </w:rPr>
        <w:br/>
        <w:t>(ii) In Case the Amount is Not Immediately Paid</w:t>
      </w:r>
      <w:r w:rsidRPr="005479CB">
        <w:rPr>
          <w:rFonts w:ascii="Times New Roman" w:eastAsia="Times New Roman" w:hAnsi="Times New Roman" w:cs="Times New Roman"/>
          <w:sz w:val="24"/>
          <w:szCs w:val="24"/>
        </w:rPr>
        <w:br/>
        <w:t>(a) For amount due, transferred to retiring partner’s loan account</w:t>
      </w:r>
      <w:r w:rsidRPr="005479CB">
        <w:rPr>
          <w:rFonts w:ascii="Times New Roman" w:eastAsia="Times New Roman" w:hAnsi="Times New Roman" w:cs="Times New Roman"/>
          <w:sz w:val="24"/>
          <w:szCs w:val="24"/>
        </w:rPr>
        <w:br/>
        <w:t>Retiring Partner’s Capital A/c Dr</w:t>
      </w:r>
      <w:r w:rsidRPr="005479CB">
        <w:rPr>
          <w:rFonts w:ascii="Times New Roman" w:eastAsia="Times New Roman" w:hAnsi="Times New Roman" w:cs="Times New Roman"/>
          <w:sz w:val="24"/>
          <w:szCs w:val="24"/>
        </w:rPr>
        <w:br/>
        <w:t>To Retiring Partner’s Loan A/c</w:t>
      </w:r>
      <w:r w:rsidRPr="005479CB">
        <w:rPr>
          <w:rFonts w:ascii="Times New Roman" w:eastAsia="Times New Roman" w:hAnsi="Times New Roman" w:cs="Times New Roman"/>
          <w:sz w:val="24"/>
          <w:szCs w:val="24"/>
        </w:rPr>
        <w:br/>
        <w:t>(b) On interest being provided</w:t>
      </w:r>
      <w:r w:rsidRPr="005479CB">
        <w:rPr>
          <w:rFonts w:ascii="Times New Roman" w:eastAsia="Times New Roman" w:hAnsi="Times New Roman" w:cs="Times New Roman"/>
          <w:sz w:val="24"/>
          <w:szCs w:val="24"/>
        </w:rPr>
        <w:br/>
        <w:t>Interest on Loan A/c Dr</w:t>
      </w:r>
      <w:r w:rsidRPr="005479CB">
        <w:rPr>
          <w:rFonts w:ascii="Times New Roman" w:eastAsia="Times New Roman" w:hAnsi="Times New Roman" w:cs="Times New Roman"/>
          <w:sz w:val="24"/>
          <w:szCs w:val="24"/>
        </w:rPr>
        <w:br/>
        <w:t>To Retiring Partner’s Loan A/c</w:t>
      </w:r>
      <w:r w:rsidRPr="005479CB">
        <w:rPr>
          <w:rFonts w:ascii="Times New Roman" w:eastAsia="Times New Roman" w:hAnsi="Times New Roman" w:cs="Times New Roman"/>
          <w:sz w:val="24"/>
          <w:szCs w:val="24"/>
        </w:rPr>
        <w:br/>
        <w:t xml:space="preserve">(c) On payment of </w:t>
      </w:r>
      <w:proofErr w:type="spellStart"/>
      <w:r w:rsidRPr="005479CB">
        <w:rPr>
          <w:rFonts w:ascii="Times New Roman" w:eastAsia="Times New Roman" w:hAnsi="Times New Roman" w:cs="Times New Roman"/>
          <w:sz w:val="24"/>
          <w:szCs w:val="24"/>
        </w:rPr>
        <w:t>instalment</w:t>
      </w:r>
      <w:proofErr w:type="spellEnd"/>
      <w:r w:rsidRPr="005479CB">
        <w:rPr>
          <w:rFonts w:ascii="Times New Roman" w:eastAsia="Times New Roman" w:hAnsi="Times New Roman" w:cs="Times New Roman"/>
          <w:sz w:val="24"/>
          <w:szCs w:val="24"/>
        </w:rPr>
        <w:t xml:space="preserve"> with interest</w:t>
      </w:r>
      <w:r w:rsidRPr="005479CB">
        <w:rPr>
          <w:rFonts w:ascii="Times New Roman" w:eastAsia="Times New Roman" w:hAnsi="Times New Roman" w:cs="Times New Roman"/>
          <w:sz w:val="24"/>
          <w:szCs w:val="24"/>
        </w:rPr>
        <w:br/>
        <w:t>Retiring Partner’s Loan A/c Dr</w:t>
      </w:r>
      <w:r w:rsidRPr="005479CB">
        <w:rPr>
          <w:rFonts w:ascii="Times New Roman" w:eastAsia="Times New Roman" w:hAnsi="Times New Roman" w:cs="Times New Roman"/>
          <w:sz w:val="24"/>
          <w:szCs w:val="24"/>
        </w:rPr>
        <w:br/>
        <w:t>To Cash/Bank A/c</w:t>
      </w:r>
      <w:r w:rsidRPr="005479CB">
        <w:rPr>
          <w:rFonts w:ascii="Times New Roman" w:eastAsia="Times New Roman" w:hAnsi="Times New Roman" w:cs="Times New Roman"/>
          <w:sz w:val="24"/>
          <w:szCs w:val="24"/>
        </w:rPr>
        <w:br/>
        <w:t>(iii) If Payment is Partly Paid in Cash and the Remaining Amount is to be Treated as Loan</w:t>
      </w:r>
      <w:r w:rsidRPr="005479CB">
        <w:rPr>
          <w:rFonts w:ascii="Times New Roman" w:eastAsia="Times New Roman" w:hAnsi="Times New Roman" w:cs="Times New Roman"/>
          <w:sz w:val="24"/>
          <w:szCs w:val="24"/>
        </w:rPr>
        <w:br/>
        <w:t>Retiring Partner’s Capital A/c Dr</w:t>
      </w:r>
      <w:r w:rsidRPr="005479CB">
        <w:rPr>
          <w:rFonts w:ascii="Times New Roman" w:eastAsia="Times New Roman" w:hAnsi="Times New Roman" w:cs="Times New Roman"/>
          <w:sz w:val="24"/>
          <w:szCs w:val="24"/>
        </w:rPr>
        <w:br/>
        <w:t>To Cash/Bank A/c To Retiring Partners’ Loan A/c</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t>Topic 4: Adjustment of Capital</w:t>
      </w:r>
      <w:r w:rsidRPr="005479CB">
        <w:rPr>
          <w:rFonts w:ascii="Times New Roman" w:eastAsia="Times New Roman" w:hAnsi="Times New Roman" w:cs="Times New Roman"/>
          <w:sz w:val="24"/>
          <w:szCs w:val="24"/>
        </w:rPr>
        <w:br/>
        <w:t>At the time of retirement of a partner, the remaining partners may decide to adjust their capital contributions in their profit sharing ratio.</w:t>
      </w:r>
      <w:r w:rsidRPr="005479CB">
        <w:rPr>
          <w:rFonts w:ascii="Times New Roman" w:eastAsia="Times New Roman" w:hAnsi="Times New Roman" w:cs="Times New Roman"/>
          <w:sz w:val="24"/>
          <w:szCs w:val="24"/>
        </w:rPr>
        <w:br/>
        <w:t>The capitals of the continuing partners may be required to be adjusted in the following three cases:</w:t>
      </w:r>
      <w:r w:rsidRPr="005479CB">
        <w:rPr>
          <w:rFonts w:ascii="Times New Roman" w:eastAsia="Times New Roman" w:hAnsi="Times New Roman" w:cs="Times New Roman"/>
          <w:sz w:val="24"/>
          <w:szCs w:val="24"/>
        </w:rPr>
        <w:br/>
        <w:t>Case I When the total capital of the new firm is given</w:t>
      </w:r>
      <w:r w:rsidRPr="005479CB">
        <w:rPr>
          <w:rFonts w:ascii="Times New Roman" w:eastAsia="Times New Roman" w:hAnsi="Times New Roman" w:cs="Times New Roman"/>
          <w:sz w:val="24"/>
          <w:szCs w:val="24"/>
        </w:rPr>
        <w:br/>
        <w:t>The various steps involved in adjusting the capitals of the partners are given below:</w:t>
      </w:r>
      <w:r w:rsidRPr="005479CB">
        <w:rPr>
          <w:rFonts w:ascii="Times New Roman" w:eastAsia="Times New Roman" w:hAnsi="Times New Roman" w:cs="Times New Roman"/>
          <w:sz w:val="24"/>
          <w:szCs w:val="24"/>
        </w:rPr>
        <w:br/>
        <w:t>Step 1 Calculate the adjusted old capitals of continuing partners (i.e. after all other adjustments).</w:t>
      </w:r>
      <w:r w:rsidRPr="005479CB">
        <w:rPr>
          <w:rFonts w:ascii="Times New Roman" w:eastAsia="Times New Roman" w:hAnsi="Times New Roman" w:cs="Times New Roman"/>
          <w:sz w:val="24"/>
          <w:szCs w:val="24"/>
        </w:rPr>
        <w:br/>
        <w:t>Step 2 Calculate the new capitals of continuing partners.</w:t>
      </w:r>
      <w:r w:rsidRPr="005479CB">
        <w:rPr>
          <w:rFonts w:ascii="Times New Roman" w:eastAsia="Times New Roman" w:hAnsi="Times New Roman" w:cs="Times New Roman"/>
          <w:sz w:val="24"/>
          <w:szCs w:val="24"/>
        </w:rPr>
        <w:br/>
        <w:t>Step 3 Calculate the surplus/deficit capital by comparing step 2 and 3.</w:t>
      </w:r>
      <w:r w:rsidRPr="005479CB">
        <w:rPr>
          <w:rFonts w:ascii="Times New Roman" w:eastAsia="Times New Roman" w:hAnsi="Times New Roman" w:cs="Times New Roman"/>
          <w:sz w:val="24"/>
          <w:szCs w:val="24"/>
        </w:rPr>
        <w:br/>
        <w:t>Case II When the total capital of the new firm is not given</w:t>
      </w:r>
      <w:r w:rsidRPr="005479CB">
        <w:rPr>
          <w:rFonts w:ascii="Times New Roman" w:eastAsia="Times New Roman" w:hAnsi="Times New Roman" w:cs="Times New Roman"/>
          <w:sz w:val="24"/>
          <w:szCs w:val="24"/>
        </w:rPr>
        <w:br/>
        <w:t>The various steps involved in adjusting the capitals of the partners are given below:</w:t>
      </w:r>
      <w:r w:rsidRPr="005479CB">
        <w:rPr>
          <w:rFonts w:ascii="Times New Roman" w:eastAsia="Times New Roman" w:hAnsi="Times New Roman" w:cs="Times New Roman"/>
          <w:sz w:val="24"/>
          <w:szCs w:val="24"/>
        </w:rPr>
        <w:br/>
        <w:t>Step 1 Calculate the adjusted old capitals of continuing partners after all other adjustments.</w:t>
      </w:r>
      <w:r w:rsidRPr="005479CB">
        <w:rPr>
          <w:rFonts w:ascii="Times New Roman" w:eastAsia="Times New Roman" w:hAnsi="Times New Roman" w:cs="Times New Roman"/>
          <w:sz w:val="24"/>
          <w:szCs w:val="24"/>
        </w:rPr>
        <w:br/>
        <w:t>Step 2 Calculate total capital of the new firm.</w:t>
      </w:r>
      <w:r w:rsidRPr="005479CB">
        <w:rPr>
          <w:rFonts w:ascii="Times New Roman" w:eastAsia="Times New Roman" w:hAnsi="Times New Roman" w:cs="Times New Roman"/>
          <w:sz w:val="24"/>
          <w:szCs w:val="24"/>
        </w:rPr>
        <w:br/>
        <w:t>Step 3 Calculate the new capitals of continuing partners.</w:t>
      </w:r>
      <w:r w:rsidRPr="005479CB">
        <w:rPr>
          <w:rFonts w:ascii="Times New Roman" w:eastAsia="Times New Roman" w:hAnsi="Times New Roman" w:cs="Times New Roman"/>
          <w:sz w:val="24"/>
          <w:szCs w:val="24"/>
        </w:rPr>
        <w:br/>
        <w:t>Step 4 Calculate the surplus/deficit capital by comparing step 2 and 3.</w:t>
      </w:r>
      <w:r w:rsidRPr="005479CB">
        <w:rPr>
          <w:rFonts w:ascii="Times New Roman" w:eastAsia="Times New Roman" w:hAnsi="Times New Roman" w:cs="Times New Roman"/>
          <w:sz w:val="24"/>
          <w:szCs w:val="24"/>
        </w:rPr>
        <w:br/>
        <w:t>Case III When the outgoing partner is to be paid through cash brought by the continuing partners in such a way as to make their capitals proportionate to their new profit sharing ratio</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t>Steps involved in adjusting the capitals of partners are given below:</w:t>
      </w:r>
      <w:r w:rsidRPr="005479CB">
        <w:rPr>
          <w:rFonts w:ascii="Times New Roman" w:eastAsia="Times New Roman" w:hAnsi="Times New Roman" w:cs="Times New Roman"/>
          <w:sz w:val="24"/>
          <w:szCs w:val="24"/>
        </w:rPr>
        <w:br/>
        <w:t>Step 1 Calculate the adjusted old capitals of continuing partners after all other adjustments.</w:t>
      </w:r>
      <w:r w:rsidRPr="005479CB">
        <w:rPr>
          <w:rFonts w:ascii="Times New Roman" w:eastAsia="Times New Roman" w:hAnsi="Times New Roman" w:cs="Times New Roman"/>
          <w:sz w:val="24"/>
          <w:szCs w:val="24"/>
        </w:rPr>
        <w:br/>
        <w:t>Step 2 Calculate total capital of the new firm.</w:t>
      </w:r>
      <w:r w:rsidRPr="005479CB">
        <w:rPr>
          <w:rFonts w:ascii="Times New Roman" w:eastAsia="Times New Roman" w:hAnsi="Times New Roman" w:cs="Times New Roman"/>
          <w:sz w:val="24"/>
          <w:szCs w:val="24"/>
        </w:rPr>
        <w:br/>
        <w:t>Step 3 Calculate the new capital of continuing partners.</w:t>
      </w:r>
      <w:r w:rsidRPr="005479CB">
        <w:rPr>
          <w:rFonts w:ascii="Times New Roman" w:eastAsia="Times New Roman" w:hAnsi="Times New Roman" w:cs="Times New Roman"/>
          <w:sz w:val="24"/>
          <w:szCs w:val="24"/>
        </w:rPr>
        <w:br/>
        <w:t>Step 4 Calculate the surplus/deficit by comparing step 2 and 3 above.</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b/>
          <w:bCs/>
          <w:sz w:val="24"/>
          <w:szCs w:val="24"/>
        </w:rPr>
        <w:lastRenderedPageBreak/>
        <w:t>Topic 5: Death of a Partner</w:t>
      </w:r>
      <w:r w:rsidRPr="005479CB">
        <w:rPr>
          <w:rFonts w:ascii="Times New Roman" w:eastAsia="Times New Roman" w:hAnsi="Times New Roman" w:cs="Times New Roman"/>
          <w:sz w:val="24"/>
          <w:szCs w:val="24"/>
        </w:rPr>
        <w:br/>
        <w:t>1. Death of A Partner The partnership comes to an end immediately, whenever a partner dies although the firm may continue with the remaining partners.</w:t>
      </w:r>
      <w:r w:rsidRPr="005479CB">
        <w:rPr>
          <w:rFonts w:ascii="Times New Roman" w:eastAsia="Times New Roman" w:hAnsi="Times New Roman" w:cs="Times New Roman"/>
          <w:sz w:val="24"/>
          <w:szCs w:val="24"/>
        </w:rPr>
        <w:br/>
        <w:t>The deceased partner is entitled to get his share in the firm as per the provision of a partnership agreement. His share in the firm is calculated in the same manner as in the case of a retiring partner.</w:t>
      </w:r>
      <w:r w:rsidRPr="005479CB">
        <w:rPr>
          <w:rFonts w:ascii="Times New Roman" w:eastAsia="Times New Roman" w:hAnsi="Times New Roman" w:cs="Times New Roman"/>
          <w:sz w:val="24"/>
          <w:szCs w:val="24"/>
        </w:rPr>
        <w:br/>
        <w:t xml:space="preserve">2. Accounting Treatment of Deceased Partners’ Share in Profits If a partner dies on any date after the date of the balance sheet, </w:t>
      </w:r>
      <w:proofErr w:type="gramStart"/>
      <w:r w:rsidRPr="005479CB">
        <w:rPr>
          <w:rFonts w:ascii="Times New Roman" w:eastAsia="Times New Roman" w:hAnsi="Times New Roman" w:cs="Times New Roman"/>
          <w:sz w:val="24"/>
          <w:szCs w:val="24"/>
        </w:rPr>
        <w:t>then</w:t>
      </w:r>
      <w:proofErr w:type="gramEnd"/>
      <w:r w:rsidRPr="005479CB">
        <w:rPr>
          <w:rFonts w:ascii="Times New Roman" w:eastAsia="Times New Roman" w:hAnsi="Times New Roman" w:cs="Times New Roman"/>
          <w:sz w:val="24"/>
          <w:szCs w:val="24"/>
        </w:rPr>
        <w:t xml:space="preserve"> his share of profit is calculated from the beginning of the year to the date of death on the basis of time or sales. When share of profit is calculated on the basis of time, it may be on the basis of previous year’s profit or average profit of past years.</w:t>
      </w:r>
      <w:r w:rsidRPr="005479CB">
        <w:rPr>
          <w:rFonts w:ascii="Times New Roman" w:eastAsia="Times New Roman" w:hAnsi="Times New Roman" w:cs="Times New Roman"/>
          <w:sz w:val="24"/>
          <w:szCs w:val="24"/>
        </w:rPr>
        <w:br/>
        <w:t>On Time Basis</w:t>
      </w:r>
      <w:r w:rsidRPr="005479CB">
        <w:rPr>
          <w:rFonts w:ascii="Times New Roman" w:eastAsia="Times New Roman" w:hAnsi="Times New Roman" w:cs="Times New Roman"/>
          <w:sz w:val="24"/>
          <w:szCs w:val="24"/>
        </w:rPr>
        <w:br/>
        <w:t>Profit from the date of last balance sheet to the date of death/retirement</w:t>
      </w:r>
      <w:r w:rsidRPr="005479CB">
        <w:rPr>
          <w:rFonts w:ascii="Times New Roman" w:eastAsia="Times New Roman" w:hAnsi="Times New Roman" w:cs="Times New Roman"/>
          <w:sz w:val="24"/>
          <w:szCs w:val="24"/>
        </w:rPr>
        <w:br/>
        <w:t>Number of Days or Months From the Date of Last</w:t>
      </w:r>
      <w:r w:rsidRPr="005479C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585254" cy="1095002"/>
            <wp:effectExtent l="19050" t="0" r="0" b="0"/>
            <wp:docPr id="2" name="Picture 2" descr="Reconstitution of a Partnership Firm Retirement Death of a Partner CBSE Notes for Class 12 Accountancy 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nstitution of a Partnership Firm Retirement Death of a Partner CBSE Notes for Class 12 Accountancy img-2"/>
                    <pic:cNvPicPr>
                      <a:picLocks noChangeAspect="1" noChangeArrowheads="1"/>
                    </pic:cNvPicPr>
                  </pic:nvPicPr>
                  <pic:blipFill>
                    <a:blip r:embed="rId9"/>
                    <a:srcRect/>
                    <a:stretch>
                      <a:fillRect/>
                    </a:stretch>
                  </pic:blipFill>
                  <pic:spPr bwMode="auto">
                    <a:xfrm>
                      <a:off x="0" y="0"/>
                      <a:ext cx="5587157" cy="1095375"/>
                    </a:xfrm>
                    <a:prstGeom prst="rect">
                      <a:avLst/>
                    </a:prstGeom>
                    <a:noFill/>
                    <a:ln w="9525">
                      <a:noFill/>
                      <a:miter lim="800000"/>
                      <a:headEnd/>
                      <a:tailEnd/>
                    </a:ln>
                  </pic:spPr>
                </pic:pic>
              </a:graphicData>
            </a:graphic>
          </wp:inline>
        </w:drawing>
      </w:r>
      <w:r w:rsidRPr="005479CB">
        <w:rPr>
          <w:rFonts w:ascii="Times New Roman" w:eastAsia="Times New Roman" w:hAnsi="Times New Roman" w:cs="Times New Roman"/>
          <w:sz w:val="24"/>
          <w:szCs w:val="24"/>
        </w:rPr>
        <w:br/>
        <w:t>On Sales Basis</w:t>
      </w:r>
      <w:r w:rsidRPr="005479CB">
        <w:rPr>
          <w:rFonts w:ascii="Times New Roman" w:eastAsia="Times New Roman" w:hAnsi="Times New Roman" w:cs="Times New Roman"/>
          <w:sz w:val="24"/>
          <w:szCs w:val="24"/>
        </w:rPr>
        <w:br/>
        <w:t>Profit from the date of last balance sheet to the date of death/retirement</w:t>
      </w:r>
      <w:r w:rsidRPr="005479C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601183" cy="1886464"/>
            <wp:effectExtent l="19050" t="0" r="9167" b="0"/>
            <wp:docPr id="3" name="Picture 3" descr="Reconstitution of a Partnership Firm Retirement Death of a Partner CBSE Notes for Class 12 Accountancy 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nstitution of a Partnership Firm Retirement Death of a Partner CBSE Notes for Class 12 Accountancy img-3"/>
                    <pic:cNvPicPr>
                      <a:picLocks noChangeAspect="1" noChangeArrowheads="1"/>
                    </pic:cNvPicPr>
                  </pic:nvPicPr>
                  <pic:blipFill>
                    <a:blip r:embed="rId10"/>
                    <a:srcRect/>
                    <a:stretch>
                      <a:fillRect/>
                    </a:stretch>
                  </pic:blipFill>
                  <pic:spPr bwMode="auto">
                    <a:xfrm>
                      <a:off x="0" y="0"/>
                      <a:ext cx="6601232" cy="1886478"/>
                    </a:xfrm>
                    <a:prstGeom prst="rect">
                      <a:avLst/>
                    </a:prstGeom>
                    <a:noFill/>
                    <a:ln w="9525">
                      <a:noFill/>
                      <a:miter lim="800000"/>
                      <a:headEnd/>
                      <a:tailEnd/>
                    </a:ln>
                  </pic:spPr>
                </pic:pic>
              </a:graphicData>
            </a:graphic>
          </wp:inline>
        </w:drawing>
      </w:r>
      <w:r w:rsidRPr="005479CB">
        <w:rPr>
          <w:rFonts w:ascii="Times New Roman" w:eastAsia="Times New Roman" w:hAnsi="Times New Roman" w:cs="Times New Roman"/>
          <w:sz w:val="24"/>
          <w:szCs w:val="24"/>
        </w:rPr>
        <w:br/>
        <w:t>3. Ascertainment of the Amount Due to the Deceased Partner The deceased partner’s share is also calculated in the same manner as in the case of retiring partner. Amount due to a deceased partner shown by his capital account is transferred to his executors’ account by passing the following journal entry</w:t>
      </w:r>
      <w:r w:rsidRPr="005479CB">
        <w:rPr>
          <w:rFonts w:ascii="Times New Roman" w:eastAsia="Times New Roman" w:hAnsi="Times New Roman" w:cs="Times New Roman"/>
          <w:sz w:val="24"/>
          <w:szCs w:val="24"/>
        </w:rPr>
        <w:br/>
        <w:t>Deceased Partner’s Capital A/c Dr</w:t>
      </w:r>
      <w:r w:rsidRPr="005479CB">
        <w:rPr>
          <w:rFonts w:ascii="Times New Roman" w:eastAsia="Times New Roman" w:hAnsi="Times New Roman" w:cs="Times New Roman"/>
          <w:sz w:val="24"/>
          <w:szCs w:val="24"/>
        </w:rPr>
        <w:br/>
        <w:t>To Deceased Partner’s Executors A/c</w:t>
      </w:r>
      <w:r w:rsidRPr="005479CB">
        <w:rPr>
          <w:rFonts w:ascii="Times New Roman" w:eastAsia="Times New Roman" w:hAnsi="Times New Roman" w:cs="Times New Roman"/>
          <w:sz w:val="24"/>
          <w:szCs w:val="24"/>
        </w:rPr>
        <w:br/>
        <w:t xml:space="preserve">4. Settlement of Deceased Partners’ Executor </w:t>
      </w:r>
      <w:proofErr w:type="gramStart"/>
      <w:r w:rsidRPr="005479CB">
        <w:rPr>
          <w:rFonts w:ascii="Times New Roman" w:eastAsia="Times New Roman" w:hAnsi="Times New Roman" w:cs="Times New Roman"/>
          <w:sz w:val="24"/>
          <w:szCs w:val="24"/>
        </w:rPr>
        <w:t>Account</w:t>
      </w:r>
      <w:proofErr w:type="gramEnd"/>
      <w:r w:rsidRPr="005479CB">
        <w:rPr>
          <w:rFonts w:ascii="Times New Roman" w:eastAsia="Times New Roman" w:hAnsi="Times New Roman" w:cs="Times New Roman"/>
          <w:sz w:val="24"/>
          <w:szCs w:val="24"/>
        </w:rPr>
        <w:br/>
        <w:t>(</w:t>
      </w:r>
      <w:proofErr w:type="spellStart"/>
      <w:r w:rsidRPr="005479CB">
        <w:rPr>
          <w:rFonts w:ascii="Times New Roman" w:eastAsia="Times New Roman" w:hAnsi="Times New Roman" w:cs="Times New Roman"/>
          <w:sz w:val="24"/>
          <w:szCs w:val="24"/>
        </w:rPr>
        <w:t>i</w:t>
      </w:r>
      <w:proofErr w:type="spellEnd"/>
      <w:r w:rsidRPr="005479CB">
        <w:rPr>
          <w:rFonts w:ascii="Times New Roman" w:eastAsia="Times New Roman" w:hAnsi="Times New Roman" w:cs="Times New Roman"/>
          <w:sz w:val="24"/>
          <w:szCs w:val="24"/>
        </w:rPr>
        <w:t>) If Payment is Made in Full/</w:t>
      </w:r>
      <w:proofErr w:type="spellStart"/>
      <w:r w:rsidRPr="005479CB">
        <w:rPr>
          <w:rFonts w:ascii="Times New Roman" w:eastAsia="Times New Roman" w:hAnsi="Times New Roman" w:cs="Times New Roman"/>
          <w:sz w:val="24"/>
          <w:szCs w:val="24"/>
        </w:rPr>
        <w:t>Lumpsum</w:t>
      </w:r>
      <w:proofErr w:type="spellEnd"/>
      <w:r w:rsidRPr="005479CB">
        <w:rPr>
          <w:rFonts w:ascii="Times New Roman" w:eastAsia="Times New Roman" w:hAnsi="Times New Roman" w:cs="Times New Roman"/>
          <w:sz w:val="24"/>
          <w:szCs w:val="24"/>
        </w:rPr>
        <w:br/>
        <w:t>Deceased Partner’s Executor’s A/c Dr</w:t>
      </w:r>
      <w:r w:rsidRPr="005479CB">
        <w:rPr>
          <w:rFonts w:ascii="Times New Roman" w:eastAsia="Times New Roman" w:hAnsi="Times New Roman" w:cs="Times New Roman"/>
          <w:sz w:val="24"/>
          <w:szCs w:val="24"/>
        </w:rPr>
        <w:br/>
        <w:t>To Cash/ Bank A/c</w:t>
      </w:r>
      <w:r w:rsidRPr="005479CB">
        <w:rPr>
          <w:rFonts w:ascii="Times New Roman" w:eastAsia="Times New Roman" w:hAnsi="Times New Roman" w:cs="Times New Roman"/>
          <w:sz w:val="24"/>
          <w:szCs w:val="24"/>
        </w:rPr>
        <w:br/>
        <w:t xml:space="preserve">(ii) If Payment is Made in </w:t>
      </w:r>
      <w:proofErr w:type="spellStart"/>
      <w:r w:rsidRPr="005479CB">
        <w:rPr>
          <w:rFonts w:ascii="Times New Roman" w:eastAsia="Times New Roman" w:hAnsi="Times New Roman" w:cs="Times New Roman"/>
          <w:sz w:val="24"/>
          <w:szCs w:val="24"/>
        </w:rPr>
        <w:t>Instalment</w:t>
      </w:r>
      <w:proofErr w:type="spellEnd"/>
      <w:r w:rsidRPr="005479CB">
        <w:rPr>
          <w:rFonts w:ascii="Times New Roman" w:eastAsia="Times New Roman" w:hAnsi="Times New Roman" w:cs="Times New Roman"/>
          <w:sz w:val="24"/>
          <w:szCs w:val="24"/>
        </w:rPr>
        <w:br/>
        <w:t>(a) Deceased Partner’s Executor’s A/c Dr</w:t>
      </w:r>
      <w:r w:rsidRPr="005479CB">
        <w:rPr>
          <w:rFonts w:ascii="Times New Roman" w:eastAsia="Times New Roman" w:hAnsi="Times New Roman" w:cs="Times New Roman"/>
          <w:sz w:val="24"/>
          <w:szCs w:val="24"/>
        </w:rPr>
        <w:br/>
        <w:t>To Deceased Partner’s Executor’s Loan A/c</w:t>
      </w:r>
      <w:r w:rsidRPr="005479CB">
        <w:rPr>
          <w:rFonts w:ascii="Times New Roman" w:eastAsia="Times New Roman" w:hAnsi="Times New Roman" w:cs="Times New Roman"/>
          <w:sz w:val="24"/>
          <w:szCs w:val="24"/>
        </w:rPr>
        <w:br/>
      </w:r>
      <w:r w:rsidRPr="005479CB">
        <w:rPr>
          <w:rFonts w:ascii="Times New Roman" w:eastAsia="Times New Roman" w:hAnsi="Times New Roman" w:cs="Times New Roman"/>
          <w:sz w:val="24"/>
          <w:szCs w:val="24"/>
        </w:rPr>
        <w:lastRenderedPageBreak/>
        <w:t>(b) Interest A/c Dr</w:t>
      </w:r>
      <w:r w:rsidRPr="005479CB">
        <w:rPr>
          <w:rFonts w:ascii="Times New Roman" w:eastAsia="Times New Roman" w:hAnsi="Times New Roman" w:cs="Times New Roman"/>
          <w:sz w:val="24"/>
          <w:szCs w:val="24"/>
        </w:rPr>
        <w:br/>
        <w:t>To Deceased Partner’s Executor’s Loan A/c, Interest is generally paid to deceased partner’s executor’s @ 6% per annum.</w:t>
      </w:r>
      <w:r w:rsidRPr="005479CB">
        <w:rPr>
          <w:rFonts w:ascii="Times New Roman" w:eastAsia="Times New Roman" w:hAnsi="Times New Roman" w:cs="Times New Roman"/>
          <w:sz w:val="24"/>
          <w:szCs w:val="24"/>
        </w:rPr>
        <w:br/>
        <w:t>(c) Deceased Partner’s Executor’s Loan A/c Dr</w:t>
      </w:r>
      <w:r w:rsidRPr="005479CB">
        <w:rPr>
          <w:rFonts w:ascii="Times New Roman" w:eastAsia="Times New Roman" w:hAnsi="Times New Roman" w:cs="Times New Roman"/>
          <w:sz w:val="24"/>
          <w:szCs w:val="24"/>
        </w:rPr>
        <w:br/>
        <w:t>5. Format of Deceased Partner’s Capital Account</w:t>
      </w:r>
      <w:r w:rsidRPr="005479C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867015" cy="4011930"/>
            <wp:effectExtent l="19050" t="0" r="635" b="0"/>
            <wp:docPr id="4" name="Picture 4" descr="Reconstitution of a Partnership Firm Retirement Death of a Partner CBSE Notes for Class 12 Accountancy 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onstitution of a Partnership Firm Retirement Death of a Partner CBSE Notes for Class 12 Accountancy img-4"/>
                    <pic:cNvPicPr>
                      <a:picLocks noChangeAspect="1" noChangeArrowheads="1"/>
                    </pic:cNvPicPr>
                  </pic:nvPicPr>
                  <pic:blipFill>
                    <a:blip r:embed="rId11"/>
                    <a:srcRect/>
                    <a:stretch>
                      <a:fillRect/>
                    </a:stretch>
                  </pic:blipFill>
                  <pic:spPr bwMode="auto">
                    <a:xfrm>
                      <a:off x="0" y="0"/>
                      <a:ext cx="7867015" cy="4011930"/>
                    </a:xfrm>
                    <a:prstGeom prst="rect">
                      <a:avLst/>
                    </a:prstGeom>
                    <a:noFill/>
                    <a:ln w="9525">
                      <a:noFill/>
                      <a:miter lim="800000"/>
                      <a:headEnd/>
                      <a:tailEnd/>
                    </a:ln>
                  </pic:spPr>
                </pic:pic>
              </a:graphicData>
            </a:graphic>
          </wp:inline>
        </w:drawing>
      </w:r>
    </w:p>
    <w:p w:rsidR="003D2CDF" w:rsidRDefault="003D2CDF"/>
    <w:sectPr w:rsidR="003D2CDF" w:rsidSect="005479C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479CB"/>
    <w:rsid w:val="003D2CDF"/>
    <w:rsid w:val="005479CB"/>
    <w:rsid w:val="00A2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9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9CB"/>
    <w:rPr>
      <w:rFonts w:ascii="Times New Roman" w:eastAsia="Times New Roman" w:hAnsi="Times New Roman" w:cs="Times New Roman"/>
      <w:b/>
      <w:bCs/>
      <w:sz w:val="36"/>
      <w:szCs w:val="36"/>
    </w:rPr>
  </w:style>
  <w:style w:type="character" w:styleId="Strong">
    <w:name w:val="Strong"/>
    <w:basedOn w:val="DefaultParagraphFont"/>
    <w:uiPriority w:val="22"/>
    <w:qFormat/>
    <w:rsid w:val="005479CB"/>
    <w:rPr>
      <w:b/>
      <w:bCs/>
    </w:rPr>
  </w:style>
  <w:style w:type="paragraph" w:styleId="NormalWeb">
    <w:name w:val="Normal (Web)"/>
    <w:basedOn w:val="Normal"/>
    <w:uiPriority w:val="99"/>
    <w:semiHidden/>
    <w:unhideWhenUsed/>
    <w:rsid w:val="00547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9CB"/>
    <w:rPr>
      <w:color w:val="0000FF"/>
      <w:u w:val="single"/>
    </w:rPr>
  </w:style>
  <w:style w:type="paragraph" w:customStyle="1" w:styleId="entry-meta">
    <w:name w:val="entry-meta"/>
    <w:basedOn w:val="Normal"/>
    <w:rsid w:val="00547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5479CB"/>
  </w:style>
  <w:style w:type="character" w:customStyle="1" w:styleId="entry-tags">
    <w:name w:val="entry-tags"/>
    <w:basedOn w:val="DefaultParagraphFont"/>
    <w:rsid w:val="005479CB"/>
  </w:style>
  <w:style w:type="paragraph" w:styleId="BalloonText">
    <w:name w:val="Balloon Text"/>
    <w:basedOn w:val="Normal"/>
    <w:link w:val="BalloonTextChar"/>
    <w:uiPriority w:val="99"/>
    <w:semiHidden/>
    <w:unhideWhenUsed/>
    <w:rsid w:val="0054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792377">
      <w:bodyDiv w:val="1"/>
      <w:marLeft w:val="0"/>
      <w:marRight w:val="0"/>
      <w:marTop w:val="0"/>
      <w:marBottom w:val="0"/>
      <w:divBdr>
        <w:top w:val="none" w:sz="0" w:space="0" w:color="auto"/>
        <w:left w:val="none" w:sz="0" w:space="0" w:color="auto"/>
        <w:bottom w:val="none" w:sz="0" w:space="0" w:color="auto"/>
        <w:right w:val="none" w:sz="0" w:space="0" w:color="auto"/>
      </w:divBdr>
      <w:divsChild>
        <w:div w:id="88703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40EB-B2FA-4E6C-A7C9-F3157DB4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2023-07-22T08:34:00Z</dcterms:created>
  <dcterms:modified xsi:type="dcterms:W3CDTF">2023-07-22T08:39:00Z</dcterms:modified>
</cp:coreProperties>
</file>